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附件1：</w:t>
      </w:r>
    </w:p>
    <w:p>
      <w:pPr>
        <w:spacing w:line="600" w:lineRule="exact"/>
        <w:rPr>
          <w:rFonts w:ascii="仿宋_GB2312" w:eastAsia="仿宋_GB2312" w:cs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sz w:val="36"/>
          <w:szCs w:val="36"/>
        </w:rPr>
        <w:t>中国职业安全健康协会2022年第一批立项团体标准名单</w:t>
      </w:r>
    </w:p>
    <w:bookmarkEnd w:id="0"/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366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项目编号</w:t>
            </w:r>
          </w:p>
        </w:tc>
        <w:tc>
          <w:tcPr>
            <w:tcW w:w="3660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标准项目名称</w:t>
            </w:r>
          </w:p>
        </w:tc>
        <w:tc>
          <w:tcPr>
            <w:tcW w:w="288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T/COSHA-P-202201</w:t>
            </w:r>
          </w:p>
        </w:tc>
        <w:tc>
          <w:tcPr>
            <w:tcW w:w="36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社区安全文化建设指南</w:t>
            </w:r>
          </w:p>
        </w:tc>
        <w:tc>
          <w:tcPr>
            <w:tcW w:w="2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应急管理部宣传教中心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T/COSHA-P-202202</w:t>
            </w:r>
          </w:p>
        </w:tc>
        <w:tc>
          <w:tcPr>
            <w:tcW w:w="36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金属矿山深部矿井通风与降温技术规范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山东黄金矿业科技有限公司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T/COSHA-P-202203</w:t>
            </w:r>
          </w:p>
        </w:tc>
        <w:tc>
          <w:tcPr>
            <w:tcW w:w="36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流程行业智能工厂安全风险感传数字基础设施布设技术规程</w:t>
            </w:r>
          </w:p>
        </w:tc>
        <w:tc>
          <w:tcPr>
            <w:tcW w:w="28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华中科技大学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0602"/>
    <w:rsid w:val="31C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2022-06-07T04:48:00Z</dcterms:created>
  <dc:creator>Administrator</dc:creator>
  <cp:lastModifiedBy>Administrator</cp:lastModifiedBy>
  <dcterms:modified xsi:type="dcterms:W3CDTF">2022-06-07T04:49:32Z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